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FD" w:rsidRDefault="00657AEA"/>
    <w:p w:rsidR="004F0A7A" w:rsidRDefault="004F0A7A"/>
    <w:p w:rsidR="004F0A7A" w:rsidRDefault="004F0A7A" w:rsidP="004F0A7A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</w:pPr>
      <w:r>
        <w:t>In class we found 3 excellent polynomial approximations for transcendental functions.  They are:</w:t>
      </w:r>
    </w:p>
    <w:p w:rsidR="004F0A7A" w:rsidRDefault="004F0A7A" w:rsidP="004F0A7A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142875</wp:posOffset>
                </wp:positionV>
                <wp:extent cx="6200775" cy="1466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6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24851" id="Rectangle 1" o:spid="_x0000_s1026" style="position:absolute;margin-left:-13.65pt;margin-top:11.25pt;width:488.2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" filled="f" strokecolor="#1f4d78 [1604]" strokeweight="1pt"/>
            </w:pict>
          </mc:Fallback>
        </mc:AlternateContent>
      </w:r>
    </w:p>
    <w:p w:rsidR="004F0A7A" w:rsidRDefault="004F0A7A" w:rsidP="004F0A7A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</w:pPr>
      <w:proofErr w:type="gramStart"/>
      <w:r>
        <w:t>e</w:t>
      </w:r>
      <w:r>
        <w:rPr>
          <w:vertAlign w:val="superscript"/>
        </w:rPr>
        <w:t>x</w:t>
      </w:r>
      <w:proofErr w:type="gramEnd"/>
      <w:r>
        <w:t xml:space="preserve"> = 1 + </w:t>
      </w:r>
      <w:r>
        <w:rPr>
          <w:position w:val="-24"/>
        </w:rPr>
        <w:object w:dxaOrig="3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0.75pt" o:ole="" fillcolor="window">
            <v:imagedata r:id="rId4" o:title=""/>
          </v:shape>
          <o:OLEObject Type="Embed" ProgID="Equation.DSMT4" ShapeID="_x0000_i1025" DrawAspect="Content" ObjectID="_1551881674" r:id="rId5"/>
        </w:object>
      </w:r>
    </w:p>
    <w:p w:rsidR="004F0A7A" w:rsidRDefault="004F0A7A" w:rsidP="004F0A7A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</w:pPr>
    </w:p>
    <w:p w:rsidR="004F0A7A" w:rsidRDefault="004F0A7A" w:rsidP="004F0A7A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</w:pPr>
      <w:proofErr w:type="gramStart"/>
      <w:r>
        <w:t>cos</w:t>
      </w:r>
      <w:proofErr w:type="gramEnd"/>
      <w:r>
        <w:t xml:space="preserve"> x = 1 + </w:t>
      </w:r>
      <w:r>
        <w:rPr>
          <w:position w:val="-24"/>
        </w:rPr>
        <w:object w:dxaOrig="2720" w:dyaOrig="620">
          <v:shape id="_x0000_i1026" type="#_x0000_t75" style="width:135.75pt;height:30.75pt" o:ole="" fillcolor="window">
            <v:imagedata r:id="rId6" o:title=""/>
          </v:shape>
          <o:OLEObject Type="Embed" ProgID="Equation.DSMT4" ShapeID="_x0000_i1026" DrawAspect="Content" ObjectID="_1551881675" r:id="rId7"/>
        </w:object>
      </w:r>
      <w:r>
        <w:tab/>
        <w:t xml:space="preserve">and  sin x = </w:t>
      </w:r>
      <w:r>
        <w:rPr>
          <w:position w:val="-24"/>
        </w:rPr>
        <w:object w:dxaOrig="3000" w:dyaOrig="620">
          <v:shape id="_x0000_i1027" type="#_x0000_t75" style="width:150pt;height:30.75pt" o:ole="" fillcolor="window">
            <v:imagedata r:id="rId8" o:title=""/>
          </v:shape>
          <o:OLEObject Type="Embed" ProgID="Equation.DSMT4" ShapeID="_x0000_i1027" DrawAspect="Content" ObjectID="_1551881676" r:id="rId9"/>
        </w:object>
      </w:r>
    </w:p>
    <w:p w:rsidR="004F0A7A" w:rsidRDefault="004F0A7A"/>
    <w:p w:rsidR="004F0A7A" w:rsidRDefault="004F0A7A" w:rsidP="004F0A7A">
      <w:pPr>
        <w:spacing w:before="240"/>
      </w:pPr>
      <w:r w:rsidRPr="007C50D6">
        <w:rPr>
          <w:b/>
        </w:rPr>
        <w:t xml:space="preserve">First Period: </w:t>
      </w:r>
      <w:r>
        <w:t xml:space="preserve"> It was suggested that since i</w:t>
      </w:r>
      <w:r>
        <w:rPr>
          <w:vertAlign w:val="superscript"/>
        </w:rPr>
        <w:t>2</w:t>
      </w:r>
      <w:r>
        <w:t xml:space="preserve"> = -1, we could find cos (</w:t>
      </w:r>
      <w:proofErr w:type="spellStart"/>
      <w:r>
        <w:t>iθ</w:t>
      </w:r>
      <w:proofErr w:type="spellEnd"/>
      <w:r>
        <w:t>) and sin (</w:t>
      </w:r>
      <w:proofErr w:type="spellStart"/>
      <w:r>
        <w:t>iθ</w:t>
      </w:r>
      <w:proofErr w:type="spellEnd"/>
      <w:r>
        <w:t>) to change the signs of the alternating terms in those expansions.  Therefore we did this:</w:t>
      </w:r>
    </w:p>
    <w:p w:rsidR="004F0A7A" w:rsidRDefault="00247247" w:rsidP="004F0A7A">
      <w:pPr>
        <w:spacing w:before="240"/>
      </w:pPr>
      <w:r w:rsidRPr="00247247">
        <w:rPr>
          <w:position w:val="-92"/>
        </w:rPr>
        <w:object w:dxaOrig="9400" w:dyaOrig="1960">
          <v:shape id="_x0000_i1028" type="#_x0000_t75" style="width:470.25pt;height:98.25pt" o:ole="" fillcolor="window">
            <v:imagedata r:id="rId10" o:title=""/>
          </v:shape>
          <o:OLEObject Type="Embed" ProgID="Equation.DSMT4" ShapeID="_x0000_i1028" DrawAspect="Content" ObjectID="_1551881677" r:id="rId11"/>
        </w:object>
      </w:r>
    </w:p>
    <w:p w:rsidR="00247247" w:rsidRDefault="00247247" w:rsidP="004F0A7A">
      <w:pPr>
        <w:spacing w:before="240"/>
      </w:pPr>
      <w:r>
        <w:t xml:space="preserve">And </w:t>
      </w:r>
      <w:r w:rsidR="007B6D35" w:rsidRPr="007B6D35">
        <w:rPr>
          <w:position w:val="-106"/>
        </w:rPr>
        <w:object w:dxaOrig="8559" w:dyaOrig="2040">
          <v:shape id="_x0000_i1029" type="#_x0000_t75" style="width:428.25pt;height:102pt" o:ole="" fillcolor="window">
            <v:imagedata r:id="rId12" o:title=""/>
          </v:shape>
          <o:OLEObject Type="Embed" ProgID="Equation.DSMT4" ShapeID="_x0000_i1029" DrawAspect="Content" ObjectID="_1551881678" r:id="rId13"/>
        </w:object>
      </w:r>
    </w:p>
    <w:p w:rsidR="007B6D35" w:rsidRDefault="007B6D35" w:rsidP="004F0A7A">
      <w:pPr>
        <w:spacing w:before="240"/>
      </w:pPr>
      <w:r>
        <w:t xml:space="preserve">So </w:t>
      </w:r>
      <w:r w:rsidR="00BF7C52">
        <w:t xml:space="preserve">  </w:t>
      </w:r>
      <w:r w:rsidR="00BF7C52" w:rsidRPr="007B6D35">
        <w:rPr>
          <w:position w:val="-46"/>
        </w:rPr>
        <w:object w:dxaOrig="9000" w:dyaOrig="1040">
          <v:shape id="_x0000_i1030" type="#_x0000_t75" style="width:450pt;height:51.75pt" o:ole="" fillcolor="window">
            <v:imagedata r:id="rId14" o:title=""/>
          </v:shape>
          <o:OLEObject Type="Embed" ProgID="Equation.DSMT4" ShapeID="_x0000_i1030" DrawAspect="Content" ObjectID="_1551881679" r:id="rId15"/>
        </w:object>
      </w:r>
    </w:p>
    <w:p w:rsidR="00BF7C52" w:rsidRDefault="00BF7C52" w:rsidP="004F0A7A">
      <w:pPr>
        <w:spacing w:before="240"/>
      </w:pPr>
      <w:r>
        <w:t>But that’s bad form so let’s go back to using real numbers for our trig functions and let θ = ix.</w:t>
      </w:r>
    </w:p>
    <w:p w:rsidR="00BF7C52" w:rsidRDefault="007C50D6" w:rsidP="004F0A7A">
      <w:pPr>
        <w:spacing w:before="240"/>
      </w:pPr>
      <w:r w:rsidRPr="007C50D6">
        <w:rPr>
          <w:position w:val="-80"/>
        </w:rPr>
        <w:object w:dxaOrig="8960" w:dyaOrig="2200">
          <v:shape id="_x0000_i1031" type="#_x0000_t75" style="width:447.75pt;height:110.25pt" o:ole="" fillcolor="window">
            <v:imagedata r:id="rId16" o:title=""/>
          </v:shape>
          <o:OLEObject Type="Embed" ProgID="Equation.DSMT4" ShapeID="_x0000_i1031" DrawAspect="Content" ObjectID="_1551881680" r:id="rId17"/>
        </w:object>
      </w:r>
    </w:p>
    <w:p w:rsidR="007C50D6" w:rsidRDefault="007C50D6" w:rsidP="004F0A7A">
      <w:pPr>
        <w:spacing w:before="240"/>
      </w:pPr>
    </w:p>
    <w:p w:rsidR="007C50D6" w:rsidRDefault="007C50D6" w:rsidP="004F0A7A">
      <w:pPr>
        <w:spacing w:before="240"/>
      </w:pPr>
      <w:r>
        <w:t>Second Period:  It was suggested that we use the power series for e</w:t>
      </w:r>
      <w:r>
        <w:rPr>
          <w:vertAlign w:val="superscript"/>
        </w:rPr>
        <w:t>x</w:t>
      </w:r>
      <w:r>
        <w:t xml:space="preserve"> to find </w:t>
      </w:r>
      <w:proofErr w:type="spellStart"/>
      <w:r>
        <w:t>e</w:t>
      </w:r>
      <w:r>
        <w:rPr>
          <w:vertAlign w:val="superscript"/>
        </w:rPr>
        <w:t>iθ</w:t>
      </w:r>
      <w:proofErr w:type="spellEnd"/>
      <w:r>
        <w:rPr>
          <w:vertAlign w:val="superscript"/>
        </w:rPr>
        <w:t xml:space="preserve">. </w:t>
      </w:r>
      <w:r>
        <w:t xml:space="preserve"> So we got</w:t>
      </w:r>
    </w:p>
    <w:p w:rsidR="007C50D6" w:rsidRDefault="007C50D6" w:rsidP="007C50D6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</w:pPr>
      <w:r w:rsidRPr="007C50D6">
        <w:rPr>
          <w:position w:val="-254"/>
        </w:rPr>
        <w:object w:dxaOrig="7920" w:dyaOrig="5400">
          <v:shape id="_x0000_i1032" type="#_x0000_t75" style="width:396pt;height:270pt" o:ole="" fillcolor="window">
            <v:imagedata r:id="rId18" o:title=""/>
          </v:shape>
          <o:OLEObject Type="Embed" ProgID="Equation.DSMT4" ShapeID="_x0000_i1032" DrawAspect="Content" ObjectID="_1551881681" r:id="rId19"/>
        </w:object>
      </w:r>
    </w:p>
    <w:p w:rsidR="007C50D6" w:rsidRPr="00657AEA" w:rsidRDefault="00657AEA" w:rsidP="004F0A7A">
      <w:pPr>
        <w:spacing w:before="240"/>
      </w:pPr>
      <w:r>
        <w:t>Note that both classes got the same result, but you went about it different ways.  Can you follow both methods?</w:t>
      </w:r>
      <w:bookmarkStart w:id="0" w:name="_GoBack"/>
      <w:bookmarkEnd w:id="0"/>
    </w:p>
    <w:sectPr w:rsidR="007C50D6" w:rsidRPr="00657AEA" w:rsidSect="004F0A7A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7A"/>
    <w:rsid w:val="00030126"/>
    <w:rsid w:val="000C51BB"/>
    <w:rsid w:val="001F1B1C"/>
    <w:rsid w:val="00247247"/>
    <w:rsid w:val="00250439"/>
    <w:rsid w:val="003441A0"/>
    <w:rsid w:val="003D579F"/>
    <w:rsid w:val="00421E9A"/>
    <w:rsid w:val="00432895"/>
    <w:rsid w:val="0044024F"/>
    <w:rsid w:val="00487924"/>
    <w:rsid w:val="004A39BA"/>
    <w:rsid w:val="004A5A7F"/>
    <w:rsid w:val="004E3F17"/>
    <w:rsid w:val="004F0A7A"/>
    <w:rsid w:val="00595B6B"/>
    <w:rsid w:val="005D6E1E"/>
    <w:rsid w:val="00656683"/>
    <w:rsid w:val="00657AEA"/>
    <w:rsid w:val="00671110"/>
    <w:rsid w:val="00675308"/>
    <w:rsid w:val="00743F88"/>
    <w:rsid w:val="007B0228"/>
    <w:rsid w:val="007B1AF3"/>
    <w:rsid w:val="007B6D35"/>
    <w:rsid w:val="007C50D6"/>
    <w:rsid w:val="007E2E48"/>
    <w:rsid w:val="008D1C73"/>
    <w:rsid w:val="00911E79"/>
    <w:rsid w:val="0094047A"/>
    <w:rsid w:val="009B1B5B"/>
    <w:rsid w:val="00B65B23"/>
    <w:rsid w:val="00BF7C52"/>
    <w:rsid w:val="00D16A07"/>
    <w:rsid w:val="00D4767E"/>
    <w:rsid w:val="00D93ECB"/>
    <w:rsid w:val="00E320BC"/>
    <w:rsid w:val="00EB76C9"/>
    <w:rsid w:val="00F75CDF"/>
    <w:rsid w:val="00F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8D8AA-078B-4694-93A7-FB6F9732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Poss</dc:creator>
  <cp:keywords/>
  <dc:description/>
  <cp:lastModifiedBy>Deborah Poss</cp:lastModifiedBy>
  <cp:revision>1</cp:revision>
  <dcterms:created xsi:type="dcterms:W3CDTF">2017-03-24T15:46:00Z</dcterms:created>
  <dcterms:modified xsi:type="dcterms:W3CDTF">2017-03-24T21:27:00Z</dcterms:modified>
</cp:coreProperties>
</file>